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A0F09" w14:textId="3CD41279" w:rsidR="00430729" w:rsidRDefault="00430729" w:rsidP="004B554B">
      <w:pPr>
        <w:textAlignment w:val="top"/>
        <w:rPr>
          <w:rFonts w:eastAsia="Times New Roman" w:cstheme="minorHAnsi"/>
          <w:b/>
          <w:bCs/>
          <w:color w:val="222222"/>
          <w:lang w:eastAsia="en-GB"/>
        </w:rPr>
      </w:pPr>
      <w:r>
        <w:rPr>
          <w:rFonts w:eastAsia="Times New Roman" w:cstheme="minorHAnsi"/>
          <w:b/>
          <w:bCs/>
          <w:color w:val="222222"/>
          <w:lang w:eastAsia="en-GB"/>
        </w:rPr>
        <w:t xml:space="preserve">Variation of measured Bone Mineral Density </w:t>
      </w:r>
    </w:p>
    <w:p w14:paraId="5D62A6CB" w14:textId="77777777" w:rsidR="00430729" w:rsidRDefault="00430729" w:rsidP="004B554B">
      <w:pPr>
        <w:textAlignment w:val="top"/>
        <w:rPr>
          <w:rFonts w:eastAsia="Times New Roman" w:cstheme="minorHAnsi"/>
          <w:b/>
          <w:bCs/>
          <w:color w:val="222222"/>
          <w:lang w:eastAsia="en-GB"/>
        </w:rPr>
      </w:pPr>
    </w:p>
    <w:p w14:paraId="296F2641" w14:textId="2C0381FE" w:rsidR="00A338E6" w:rsidRPr="00A338E6" w:rsidRDefault="00A338E6" w:rsidP="004B554B">
      <w:pPr>
        <w:textAlignment w:val="top"/>
        <w:rPr>
          <w:rFonts w:eastAsia="Times New Roman" w:cstheme="minorHAnsi"/>
          <w:b/>
          <w:bCs/>
          <w:color w:val="222222"/>
          <w:lang w:eastAsia="en-GB"/>
        </w:rPr>
      </w:pPr>
      <w:r w:rsidRPr="00A338E6">
        <w:rPr>
          <w:rFonts w:eastAsia="Times New Roman" w:cstheme="minorHAnsi"/>
          <w:b/>
          <w:bCs/>
          <w:color w:val="222222"/>
          <w:lang w:eastAsia="en-GB"/>
        </w:rPr>
        <w:t>C</w:t>
      </w:r>
      <w:r w:rsidRPr="00A338E6">
        <w:rPr>
          <w:rFonts w:eastAsia="Times New Roman" w:cstheme="minorHAnsi"/>
          <w:b/>
          <w:bCs/>
          <w:color w:val="222222"/>
          <w:lang w:eastAsia="en-GB"/>
        </w:rPr>
        <w:t>oncordance</w:t>
      </w:r>
      <w:r w:rsidRPr="00A338E6">
        <w:rPr>
          <w:rFonts w:eastAsia="Times New Roman" w:cstheme="minorHAnsi"/>
          <w:b/>
          <w:bCs/>
          <w:color w:val="222222"/>
          <w:lang w:eastAsia="en-GB"/>
        </w:rPr>
        <w:t xml:space="preserve"> </w:t>
      </w:r>
    </w:p>
    <w:p w14:paraId="2D0DDE09" w14:textId="10E12C5A" w:rsidR="00A338E6" w:rsidRPr="00A338E6" w:rsidRDefault="00A338E6" w:rsidP="004B554B">
      <w:pPr>
        <w:textAlignment w:val="top"/>
        <w:rPr>
          <w:rFonts w:eastAsia="Times New Roman" w:cstheme="minorHAnsi"/>
          <w:color w:val="222222"/>
          <w:lang w:eastAsia="en-GB"/>
        </w:rPr>
      </w:pPr>
      <w:r w:rsidRPr="00A338E6">
        <w:rPr>
          <w:rFonts w:eastAsia="Times New Roman" w:cstheme="minorHAnsi"/>
          <w:color w:val="70757A"/>
          <w:lang w:eastAsia="en-GB"/>
        </w:rPr>
        <w:t>(</w:t>
      </w:r>
      <w:r w:rsidRPr="00A338E6">
        <w:rPr>
          <w:rFonts w:eastAsia="Times New Roman" w:cstheme="minorHAnsi"/>
          <w:color w:val="70757A"/>
          <w:lang w:eastAsia="en-GB"/>
        </w:rPr>
        <w:t>/</w:t>
      </w:r>
      <w:proofErr w:type="spellStart"/>
      <w:r w:rsidRPr="00A338E6">
        <w:rPr>
          <w:rFonts w:eastAsia="Times New Roman" w:cstheme="minorHAnsi"/>
          <w:color w:val="70757A"/>
          <w:lang w:eastAsia="en-GB"/>
        </w:rPr>
        <w:t>kənˈkɔːd</w:t>
      </w:r>
      <w:proofErr w:type="spellEnd"/>
      <w:r w:rsidRPr="00A338E6">
        <w:rPr>
          <w:rFonts w:eastAsia="Times New Roman" w:cstheme="minorHAnsi"/>
          <w:color w:val="70757A"/>
          <w:lang w:eastAsia="en-GB"/>
        </w:rPr>
        <w:t>(ə)ns/</w:t>
      </w:r>
      <w:r w:rsidRPr="00A338E6">
        <w:rPr>
          <w:rFonts w:eastAsia="Times New Roman" w:cstheme="minorHAnsi"/>
          <w:color w:val="70757A"/>
          <w:lang w:eastAsia="en-GB"/>
        </w:rPr>
        <w:t>)</w:t>
      </w:r>
    </w:p>
    <w:p w14:paraId="3A821DEC" w14:textId="0277EAD3" w:rsidR="00A338E6" w:rsidRPr="00A338E6" w:rsidRDefault="00A338E6" w:rsidP="004B554B">
      <w:pPr>
        <w:rPr>
          <w:rFonts w:eastAsia="Times New Roman" w:cstheme="minorHAnsi"/>
          <w:color w:val="660099"/>
          <w:lang w:eastAsia="en-GB"/>
        </w:rPr>
      </w:pPr>
      <w:hyperlink r:id="rId5" w:history="1"/>
      <w:r w:rsidR="00360BE8">
        <w:rPr>
          <w:rFonts w:eastAsia="Times New Roman" w:cstheme="minorHAnsi"/>
          <w:i/>
          <w:iCs/>
          <w:color w:val="222222"/>
          <w:lang w:eastAsia="en-GB"/>
        </w:rPr>
        <w:t>N</w:t>
      </w:r>
      <w:r w:rsidRPr="00A338E6">
        <w:rPr>
          <w:rFonts w:eastAsia="Times New Roman" w:cstheme="minorHAnsi"/>
          <w:i/>
          <w:iCs/>
          <w:color w:val="222222"/>
          <w:lang w:eastAsia="en-GB"/>
        </w:rPr>
        <w:t>oun</w:t>
      </w:r>
    </w:p>
    <w:p w14:paraId="127AA2F9" w14:textId="77777777" w:rsidR="00A338E6" w:rsidRPr="00A338E6" w:rsidRDefault="00A338E6" w:rsidP="004B554B">
      <w:pPr>
        <w:rPr>
          <w:rFonts w:eastAsia="Times New Roman" w:cstheme="minorHAnsi"/>
          <w:color w:val="222222"/>
          <w:lang w:eastAsia="en-GB"/>
        </w:rPr>
      </w:pPr>
      <w:r w:rsidRPr="00A338E6">
        <w:rPr>
          <w:rFonts w:eastAsia="Times New Roman" w:cstheme="minorHAnsi"/>
          <w:color w:val="222222"/>
          <w:lang w:eastAsia="en-GB"/>
        </w:rPr>
        <w:t>agreement or consistency.</w:t>
      </w:r>
    </w:p>
    <w:p w14:paraId="05CAEE0C" w14:textId="281B4FE0" w:rsidR="00A338E6" w:rsidRPr="00A338E6" w:rsidRDefault="00A338E6" w:rsidP="004B554B">
      <w:pPr>
        <w:rPr>
          <w:rFonts w:eastAsia="Times New Roman" w:cstheme="minorHAnsi"/>
          <w:color w:val="222222"/>
          <w:lang w:eastAsia="en-GB"/>
        </w:rPr>
      </w:pPr>
      <w:r w:rsidRPr="00A338E6">
        <w:rPr>
          <w:rFonts w:eastAsia="Times New Roman" w:cstheme="minorHAnsi"/>
          <w:color w:val="222222"/>
          <w:lang w:eastAsia="en-GB"/>
        </w:rPr>
        <w:t>"the concordance between the teams' research results"</w:t>
      </w:r>
    </w:p>
    <w:p w14:paraId="3AD40A0F" w14:textId="7392B870" w:rsidR="00A338E6" w:rsidRDefault="00A338E6" w:rsidP="00A338E6">
      <w:pPr>
        <w:rPr>
          <w:rFonts w:ascii="Arial" w:eastAsia="Times New Roman" w:hAnsi="Arial" w:cs="Arial"/>
          <w:color w:val="222222"/>
          <w:lang w:eastAsia="en-GB"/>
        </w:rPr>
      </w:pPr>
    </w:p>
    <w:p w14:paraId="1D6A633E" w14:textId="610103FE" w:rsidR="004B554B" w:rsidRPr="004B554B" w:rsidRDefault="004B554B" w:rsidP="004B554B">
      <w:pPr>
        <w:textAlignment w:val="top"/>
        <w:rPr>
          <w:rFonts w:eastAsia="Times New Roman" w:cstheme="minorHAnsi"/>
          <w:b/>
          <w:bCs/>
          <w:color w:val="222222"/>
          <w:lang w:eastAsia="en-GB"/>
        </w:rPr>
      </w:pPr>
      <w:r w:rsidRPr="0037032C">
        <w:rPr>
          <w:rFonts w:eastAsia="Times New Roman" w:cstheme="minorHAnsi"/>
          <w:b/>
          <w:bCs/>
          <w:color w:val="222222"/>
          <w:lang w:eastAsia="en-GB"/>
        </w:rPr>
        <w:t>D</w:t>
      </w:r>
      <w:r w:rsidRPr="004B554B">
        <w:rPr>
          <w:rFonts w:eastAsia="Times New Roman" w:cstheme="minorHAnsi"/>
          <w:b/>
          <w:bCs/>
          <w:color w:val="222222"/>
          <w:lang w:eastAsia="en-GB"/>
        </w:rPr>
        <w:t>iscordance</w:t>
      </w:r>
    </w:p>
    <w:p w14:paraId="156E08C8" w14:textId="77777777" w:rsidR="004B554B" w:rsidRPr="004B554B" w:rsidRDefault="004B554B" w:rsidP="004B554B">
      <w:pPr>
        <w:rPr>
          <w:rFonts w:eastAsia="Times New Roman" w:cstheme="minorHAnsi"/>
          <w:color w:val="70757A"/>
          <w:lang w:eastAsia="en-GB"/>
        </w:rPr>
      </w:pPr>
      <w:r w:rsidRPr="004B554B">
        <w:rPr>
          <w:rFonts w:eastAsia="Times New Roman" w:cstheme="minorHAnsi"/>
          <w:color w:val="70757A"/>
          <w:lang w:eastAsia="en-GB"/>
        </w:rPr>
        <w:t>/</w:t>
      </w:r>
      <w:proofErr w:type="spellStart"/>
      <w:r w:rsidRPr="004B554B">
        <w:rPr>
          <w:rFonts w:eastAsia="Times New Roman" w:cstheme="minorHAnsi"/>
          <w:color w:val="70757A"/>
          <w:lang w:eastAsia="en-GB"/>
        </w:rPr>
        <w:t>dɪˈskɔːd</w:t>
      </w:r>
      <w:proofErr w:type="spellEnd"/>
      <w:r w:rsidRPr="004B554B">
        <w:rPr>
          <w:rFonts w:eastAsia="Times New Roman" w:cstheme="minorHAnsi"/>
          <w:color w:val="70757A"/>
          <w:lang w:eastAsia="en-GB"/>
        </w:rPr>
        <w:t>(ə)ns/</w:t>
      </w:r>
    </w:p>
    <w:p w14:paraId="5AA81D02" w14:textId="206BB185" w:rsidR="004B554B" w:rsidRDefault="004B554B" w:rsidP="004B554B">
      <w:pPr>
        <w:rPr>
          <w:rFonts w:eastAsia="Times New Roman" w:cstheme="minorHAnsi"/>
          <w:color w:val="222222"/>
          <w:lang w:eastAsia="en-GB"/>
        </w:rPr>
      </w:pPr>
      <w:r w:rsidRPr="004B554B">
        <w:rPr>
          <w:rFonts w:eastAsia="Times New Roman" w:cstheme="minorHAnsi"/>
          <w:i/>
          <w:iCs/>
          <w:color w:val="222222"/>
          <w:lang w:eastAsia="en-GB"/>
        </w:rPr>
        <w:t>N</w:t>
      </w:r>
      <w:r w:rsidRPr="004B554B">
        <w:rPr>
          <w:rFonts w:eastAsia="Times New Roman" w:cstheme="minorHAnsi"/>
          <w:i/>
          <w:iCs/>
          <w:color w:val="222222"/>
          <w:lang w:eastAsia="en-GB"/>
        </w:rPr>
        <w:t>oun</w:t>
      </w:r>
    </w:p>
    <w:p w14:paraId="7E6DBA21" w14:textId="77777777" w:rsidR="004B554B" w:rsidRPr="004B554B" w:rsidRDefault="004B554B" w:rsidP="004B554B">
      <w:pPr>
        <w:rPr>
          <w:rFonts w:eastAsia="Times New Roman" w:cstheme="minorHAnsi"/>
          <w:color w:val="222222"/>
          <w:lang w:eastAsia="en-GB"/>
        </w:rPr>
      </w:pPr>
      <w:r w:rsidRPr="004B554B">
        <w:rPr>
          <w:rFonts w:eastAsia="Times New Roman" w:cstheme="minorHAnsi"/>
          <w:color w:val="222222"/>
          <w:lang w:eastAsia="en-GB"/>
        </w:rPr>
        <w:t>lack of agreement or consistency.</w:t>
      </w:r>
    </w:p>
    <w:p w14:paraId="528A6D1D" w14:textId="77777777" w:rsidR="004B554B" w:rsidRPr="004B554B" w:rsidRDefault="004B554B" w:rsidP="004B554B">
      <w:pPr>
        <w:rPr>
          <w:rFonts w:eastAsia="Times New Roman" w:cstheme="minorHAnsi"/>
          <w:color w:val="222222"/>
          <w:lang w:eastAsia="en-GB"/>
        </w:rPr>
      </w:pPr>
      <w:r w:rsidRPr="004B554B">
        <w:rPr>
          <w:rFonts w:eastAsia="Times New Roman" w:cstheme="minorHAnsi"/>
          <w:color w:val="222222"/>
          <w:lang w:eastAsia="en-GB"/>
        </w:rPr>
        <w:t>"the discordance between sales and evidence should be a focus"</w:t>
      </w:r>
    </w:p>
    <w:p w14:paraId="72867003" w14:textId="57296BA3" w:rsidR="004B554B" w:rsidRDefault="004B554B"/>
    <w:p w14:paraId="5B1761D5" w14:textId="77777777" w:rsidR="00360BE8" w:rsidRDefault="00360BE8" w:rsidP="00F33BA2"/>
    <w:p w14:paraId="7DE9E521" w14:textId="6B920003" w:rsidR="00F33BA2" w:rsidRPr="009D07E0" w:rsidRDefault="00F33BA2" w:rsidP="00F33BA2">
      <w:pPr>
        <w:rPr>
          <w:rFonts w:cstheme="minorHAnsi"/>
        </w:rPr>
      </w:pPr>
      <w:r w:rsidRPr="009D07E0">
        <w:rPr>
          <w:rFonts w:cstheme="minorHAnsi"/>
        </w:rPr>
        <w:t>Osteoporosis is defined by the World Health Organisation (WHO) as:</w:t>
      </w:r>
    </w:p>
    <w:p w14:paraId="11082418" w14:textId="77777777" w:rsidR="00F33BA2" w:rsidRPr="009D07E0" w:rsidRDefault="00F33BA2" w:rsidP="00F33BA2">
      <w:pPr>
        <w:rPr>
          <w:rFonts w:cstheme="minorHAnsi"/>
        </w:rPr>
      </w:pPr>
      <w:r w:rsidRPr="00072536">
        <w:rPr>
          <w:rFonts w:cstheme="minorHAnsi"/>
        </w:rPr>
        <w:t xml:space="preserve">A systemic condition characterised by low bone mineral density (BMD) in the osteoporosis range measured by bone densitometry (T score &lt; -2.5) </w:t>
      </w:r>
      <w:r w:rsidRPr="00072536">
        <w:rPr>
          <w:rFonts w:cstheme="minorHAnsi"/>
          <w:i/>
          <w:iCs/>
        </w:rPr>
        <w:t xml:space="preserve">or </w:t>
      </w:r>
      <w:r w:rsidRPr="00072536">
        <w:rPr>
          <w:rFonts w:cstheme="minorHAnsi"/>
        </w:rPr>
        <w:t xml:space="preserve">a significant fracture risk based on fracture risk assessment e.g. FRAX </w:t>
      </w:r>
      <w:r w:rsidRPr="00072536">
        <w:rPr>
          <w:rFonts w:cstheme="minorHAnsi"/>
          <w:i/>
          <w:iCs/>
        </w:rPr>
        <w:t xml:space="preserve">with or without </w:t>
      </w:r>
      <w:r w:rsidRPr="00072536">
        <w:rPr>
          <w:rFonts w:cstheme="minorHAnsi"/>
        </w:rPr>
        <w:t>fragility (low trauma) fractures</w:t>
      </w:r>
      <w:r w:rsidRPr="009D07E0">
        <w:rPr>
          <w:rFonts w:cstheme="minorHAnsi"/>
        </w:rPr>
        <w:t>.</w:t>
      </w:r>
    </w:p>
    <w:p w14:paraId="005D5F00" w14:textId="77777777" w:rsidR="00F33BA2" w:rsidRPr="009D07E0" w:rsidRDefault="00F33BA2" w:rsidP="00F33BA2">
      <w:pPr>
        <w:rPr>
          <w:rFonts w:cstheme="minorHAnsi"/>
        </w:rPr>
      </w:pPr>
    </w:p>
    <w:p w14:paraId="191231E8" w14:textId="77777777" w:rsidR="00F33BA2" w:rsidRPr="009D07E0" w:rsidRDefault="00F33BA2" w:rsidP="00F33BA2">
      <w:pPr>
        <w:rPr>
          <w:rFonts w:cstheme="minorHAnsi"/>
        </w:rPr>
      </w:pPr>
      <w:r w:rsidRPr="009D07E0">
        <w:rPr>
          <w:rFonts w:cstheme="minorHAnsi"/>
          <w:i/>
          <w:iCs/>
        </w:rPr>
        <w:t>Systemic</w:t>
      </w:r>
      <w:r w:rsidRPr="009D07E0">
        <w:rPr>
          <w:rFonts w:cstheme="minorHAnsi"/>
        </w:rPr>
        <w:t xml:space="preserve"> means affecting the whole body and, in this case, refers to the whole skeleton. Generally, in premenopausal women, it is expected that the bone density of the spine and hips will of the same order of magnitude unless there are specific reasons for them to be different such as playing sport where the impact is taken more on one lower limb than the other e.g. javelin throwing.</w:t>
      </w:r>
    </w:p>
    <w:p w14:paraId="6A115FE1" w14:textId="77777777" w:rsidR="00F33BA2" w:rsidRPr="009D07E0" w:rsidRDefault="00F33BA2" w:rsidP="00F33BA2">
      <w:pPr>
        <w:rPr>
          <w:rFonts w:cstheme="minorHAnsi"/>
        </w:rPr>
      </w:pPr>
    </w:p>
    <w:p w14:paraId="379837B3" w14:textId="77777777" w:rsidR="00F33BA2" w:rsidRPr="009D07E0" w:rsidRDefault="00F33BA2" w:rsidP="00F33BA2">
      <w:pPr>
        <w:rPr>
          <w:rFonts w:cstheme="minorHAnsi"/>
        </w:rPr>
      </w:pPr>
      <w:r w:rsidRPr="009D07E0">
        <w:rPr>
          <w:rFonts w:cstheme="minorHAnsi"/>
        </w:rPr>
        <w:t xml:space="preserve">In postmenopausal women there often is more variation, </w:t>
      </w:r>
      <w:r>
        <w:rPr>
          <w:rFonts w:cstheme="minorHAnsi"/>
        </w:rPr>
        <w:t>which can</w:t>
      </w:r>
      <w:r w:rsidRPr="009D07E0">
        <w:rPr>
          <w:rFonts w:cstheme="minorHAnsi"/>
        </w:rPr>
        <w:t xml:space="preserve"> also be the case in people who have specific reasons not to use certain parts of their bodies such as those who have suffered paralysis because of a stroke.</w:t>
      </w:r>
    </w:p>
    <w:p w14:paraId="659DAED5" w14:textId="77777777" w:rsidR="00F33BA2" w:rsidRPr="009D07E0" w:rsidRDefault="00F33BA2" w:rsidP="00F33BA2">
      <w:pPr>
        <w:rPr>
          <w:rFonts w:cstheme="minorHAnsi"/>
        </w:rPr>
      </w:pPr>
    </w:p>
    <w:p w14:paraId="6D49154A" w14:textId="77777777" w:rsidR="00F33BA2" w:rsidRDefault="00F33BA2" w:rsidP="00F33BA2">
      <w:pPr>
        <w:autoSpaceDE w:val="0"/>
        <w:autoSpaceDN w:val="0"/>
        <w:adjustRightInd w:val="0"/>
        <w:rPr>
          <w:rFonts w:cstheme="minorHAnsi"/>
        </w:rPr>
      </w:pPr>
      <w:r w:rsidRPr="009D07E0">
        <w:rPr>
          <w:rFonts w:cstheme="minorHAnsi"/>
        </w:rPr>
        <w:t xml:space="preserve">When the T-scores </w:t>
      </w:r>
      <w:r>
        <w:rPr>
          <w:rFonts w:cstheme="minorHAnsi"/>
        </w:rPr>
        <w:t>fall into the same WHO diagnostic category (normal, osteopenia, osteoporosis)</w:t>
      </w:r>
      <w:r w:rsidRPr="009D07E0">
        <w:rPr>
          <w:rFonts w:cstheme="minorHAnsi"/>
        </w:rPr>
        <w:t xml:space="preserve"> they are defined as being concordant. If they </w:t>
      </w:r>
      <w:r>
        <w:rPr>
          <w:rFonts w:cstheme="minorHAnsi"/>
        </w:rPr>
        <w:t xml:space="preserve">fall into </w:t>
      </w:r>
      <w:r w:rsidRPr="009D07E0">
        <w:rPr>
          <w:rFonts w:cstheme="minorHAnsi"/>
        </w:rPr>
        <w:t>different</w:t>
      </w:r>
      <w:r>
        <w:rPr>
          <w:rFonts w:cstheme="minorHAnsi"/>
        </w:rPr>
        <w:t xml:space="preserve"> WHO diagnostic categories</w:t>
      </w:r>
      <w:r w:rsidRPr="009D07E0">
        <w:rPr>
          <w:rFonts w:cstheme="minorHAnsi"/>
        </w:rPr>
        <w:t>, they are discordant.</w:t>
      </w:r>
    </w:p>
    <w:p w14:paraId="27C2B803" w14:textId="77777777" w:rsidR="00F33BA2" w:rsidRPr="009D07E0" w:rsidRDefault="00F33BA2" w:rsidP="00F33BA2">
      <w:pPr>
        <w:autoSpaceDE w:val="0"/>
        <w:autoSpaceDN w:val="0"/>
        <w:adjustRightInd w:val="0"/>
        <w:rPr>
          <w:rFonts w:cstheme="minorHAnsi"/>
        </w:rPr>
      </w:pPr>
    </w:p>
    <w:p w14:paraId="741A15F1" w14:textId="77777777" w:rsidR="00F33BA2" w:rsidRDefault="00F33BA2" w:rsidP="00F33BA2">
      <w:pPr>
        <w:rPr>
          <w:rFonts w:cstheme="minorHAnsi"/>
        </w:rPr>
      </w:pPr>
      <w:r w:rsidRPr="009D07E0">
        <w:rPr>
          <w:rFonts w:cstheme="minorHAnsi"/>
        </w:rPr>
        <w:t xml:space="preserve">A minor discordance is defined as T-scores in adjacent WHO </w:t>
      </w:r>
      <w:r>
        <w:rPr>
          <w:rFonts w:cstheme="minorHAnsi"/>
        </w:rPr>
        <w:t xml:space="preserve">diagnostic </w:t>
      </w:r>
      <w:r w:rsidRPr="009D07E0">
        <w:rPr>
          <w:rFonts w:cstheme="minorHAnsi"/>
        </w:rPr>
        <w:t>categories of bone density</w:t>
      </w:r>
      <w:r>
        <w:rPr>
          <w:rFonts w:cstheme="minorHAnsi"/>
        </w:rPr>
        <w:t>:</w:t>
      </w:r>
    </w:p>
    <w:p w14:paraId="27C8AA00" w14:textId="77777777" w:rsidR="00F33BA2" w:rsidRDefault="00F33BA2" w:rsidP="00F33BA2">
      <w:pPr>
        <w:rPr>
          <w:rFonts w:cstheme="minorHAnsi"/>
        </w:rPr>
      </w:pPr>
    </w:p>
    <w:tbl>
      <w:tblPr>
        <w:tblStyle w:val="TableGrid"/>
        <w:tblW w:w="0" w:type="auto"/>
        <w:tblLook w:val="04A0" w:firstRow="1" w:lastRow="0" w:firstColumn="1" w:lastColumn="0" w:noHBand="0" w:noVBand="1"/>
      </w:tblPr>
      <w:tblGrid>
        <w:gridCol w:w="1501"/>
        <w:gridCol w:w="1701"/>
      </w:tblGrid>
      <w:tr w:rsidR="00F33BA2" w14:paraId="022CC8FD" w14:textId="77777777" w:rsidTr="00F61553">
        <w:tc>
          <w:tcPr>
            <w:tcW w:w="1501" w:type="dxa"/>
          </w:tcPr>
          <w:p w14:paraId="582E87C2" w14:textId="77777777" w:rsidR="00F33BA2" w:rsidRPr="006C24DB" w:rsidRDefault="00F33BA2" w:rsidP="00F61553">
            <w:pPr>
              <w:rPr>
                <w:rFonts w:cstheme="minorHAnsi"/>
                <w:b/>
                <w:bCs/>
              </w:rPr>
            </w:pPr>
            <w:r>
              <w:rPr>
                <w:rFonts w:cstheme="minorHAnsi"/>
                <w:b/>
                <w:bCs/>
              </w:rPr>
              <w:t>Hip</w:t>
            </w:r>
          </w:p>
        </w:tc>
        <w:tc>
          <w:tcPr>
            <w:tcW w:w="1701" w:type="dxa"/>
          </w:tcPr>
          <w:p w14:paraId="0C1AFB71" w14:textId="77777777" w:rsidR="00F33BA2" w:rsidRPr="006C24DB" w:rsidRDefault="00F33BA2" w:rsidP="00F61553">
            <w:pPr>
              <w:rPr>
                <w:rFonts w:cstheme="minorHAnsi"/>
                <w:b/>
                <w:bCs/>
              </w:rPr>
            </w:pPr>
            <w:r w:rsidRPr="006C24DB">
              <w:rPr>
                <w:rFonts w:cstheme="minorHAnsi"/>
                <w:b/>
                <w:bCs/>
              </w:rPr>
              <w:t>Spine</w:t>
            </w:r>
          </w:p>
        </w:tc>
      </w:tr>
      <w:tr w:rsidR="00F33BA2" w14:paraId="73082B1D" w14:textId="77777777" w:rsidTr="00F61553">
        <w:tc>
          <w:tcPr>
            <w:tcW w:w="1501" w:type="dxa"/>
          </w:tcPr>
          <w:p w14:paraId="0B274876" w14:textId="77777777" w:rsidR="00F33BA2" w:rsidRDefault="00F33BA2" w:rsidP="00F61553">
            <w:pPr>
              <w:rPr>
                <w:rFonts w:cstheme="minorHAnsi"/>
              </w:rPr>
            </w:pPr>
            <w:r>
              <w:rPr>
                <w:rFonts w:cstheme="minorHAnsi"/>
              </w:rPr>
              <w:t>Normal</w:t>
            </w:r>
          </w:p>
        </w:tc>
        <w:tc>
          <w:tcPr>
            <w:tcW w:w="1701" w:type="dxa"/>
          </w:tcPr>
          <w:p w14:paraId="7D139355" w14:textId="77777777" w:rsidR="00F33BA2" w:rsidRDefault="00F33BA2" w:rsidP="00F61553">
            <w:pPr>
              <w:rPr>
                <w:rFonts w:cstheme="minorHAnsi"/>
              </w:rPr>
            </w:pPr>
            <w:r>
              <w:rPr>
                <w:rFonts w:cstheme="minorHAnsi"/>
              </w:rPr>
              <w:t>Osteopenia</w:t>
            </w:r>
          </w:p>
        </w:tc>
      </w:tr>
      <w:tr w:rsidR="00F33BA2" w14:paraId="55602319" w14:textId="77777777" w:rsidTr="00F61553">
        <w:tc>
          <w:tcPr>
            <w:tcW w:w="1501" w:type="dxa"/>
          </w:tcPr>
          <w:p w14:paraId="1B6AE336" w14:textId="77777777" w:rsidR="00F33BA2" w:rsidRDefault="00F33BA2" w:rsidP="00F61553">
            <w:pPr>
              <w:rPr>
                <w:rFonts w:cstheme="minorHAnsi"/>
              </w:rPr>
            </w:pPr>
            <w:r>
              <w:rPr>
                <w:rFonts w:cstheme="minorHAnsi"/>
              </w:rPr>
              <w:t>Osteopenia</w:t>
            </w:r>
          </w:p>
        </w:tc>
        <w:tc>
          <w:tcPr>
            <w:tcW w:w="1701" w:type="dxa"/>
          </w:tcPr>
          <w:p w14:paraId="6E9B42D7" w14:textId="77777777" w:rsidR="00F33BA2" w:rsidRDefault="00F33BA2" w:rsidP="00F61553">
            <w:pPr>
              <w:rPr>
                <w:rFonts w:cstheme="minorHAnsi"/>
              </w:rPr>
            </w:pPr>
            <w:r>
              <w:rPr>
                <w:rFonts w:cstheme="minorHAnsi"/>
              </w:rPr>
              <w:t>Osteoporosis</w:t>
            </w:r>
          </w:p>
        </w:tc>
      </w:tr>
      <w:tr w:rsidR="00F33BA2" w14:paraId="35F555FC" w14:textId="77777777" w:rsidTr="00F61553">
        <w:tc>
          <w:tcPr>
            <w:tcW w:w="1501" w:type="dxa"/>
          </w:tcPr>
          <w:p w14:paraId="642F4C9F" w14:textId="77777777" w:rsidR="00F33BA2" w:rsidRDefault="00F33BA2" w:rsidP="00F61553">
            <w:pPr>
              <w:rPr>
                <w:rFonts w:cstheme="minorHAnsi"/>
              </w:rPr>
            </w:pPr>
            <w:r>
              <w:rPr>
                <w:rFonts w:cstheme="minorHAnsi"/>
              </w:rPr>
              <w:t>Osteopenia</w:t>
            </w:r>
          </w:p>
        </w:tc>
        <w:tc>
          <w:tcPr>
            <w:tcW w:w="1701" w:type="dxa"/>
          </w:tcPr>
          <w:p w14:paraId="059B681A" w14:textId="77777777" w:rsidR="00F33BA2" w:rsidRDefault="00F33BA2" w:rsidP="00F61553">
            <w:pPr>
              <w:rPr>
                <w:rFonts w:cstheme="minorHAnsi"/>
              </w:rPr>
            </w:pPr>
            <w:r>
              <w:rPr>
                <w:rFonts w:cstheme="minorHAnsi"/>
              </w:rPr>
              <w:t>Normal</w:t>
            </w:r>
          </w:p>
        </w:tc>
      </w:tr>
      <w:tr w:rsidR="00F33BA2" w14:paraId="28AEC29B" w14:textId="77777777" w:rsidTr="00F61553">
        <w:tc>
          <w:tcPr>
            <w:tcW w:w="1501" w:type="dxa"/>
          </w:tcPr>
          <w:p w14:paraId="1FF0624A" w14:textId="77777777" w:rsidR="00F33BA2" w:rsidRDefault="00F33BA2" w:rsidP="00F61553">
            <w:pPr>
              <w:rPr>
                <w:rFonts w:cstheme="minorHAnsi"/>
              </w:rPr>
            </w:pPr>
            <w:r>
              <w:rPr>
                <w:rFonts w:cstheme="minorHAnsi"/>
              </w:rPr>
              <w:t>Osteoporosis</w:t>
            </w:r>
          </w:p>
        </w:tc>
        <w:tc>
          <w:tcPr>
            <w:tcW w:w="1701" w:type="dxa"/>
          </w:tcPr>
          <w:p w14:paraId="63F77E22" w14:textId="77777777" w:rsidR="00F33BA2" w:rsidRDefault="00F33BA2" w:rsidP="00F61553">
            <w:pPr>
              <w:rPr>
                <w:rFonts w:cstheme="minorHAnsi"/>
              </w:rPr>
            </w:pPr>
            <w:r>
              <w:rPr>
                <w:rFonts w:cstheme="minorHAnsi"/>
              </w:rPr>
              <w:t>Osteopenia</w:t>
            </w:r>
          </w:p>
        </w:tc>
      </w:tr>
    </w:tbl>
    <w:p w14:paraId="536C8F7F" w14:textId="77777777" w:rsidR="00F33BA2" w:rsidRDefault="00F33BA2" w:rsidP="00F33BA2">
      <w:pPr>
        <w:rPr>
          <w:rFonts w:cstheme="minorHAnsi"/>
        </w:rPr>
      </w:pPr>
      <w:r w:rsidRPr="009D07E0">
        <w:rPr>
          <w:rFonts w:cstheme="minorHAnsi"/>
        </w:rPr>
        <w:t xml:space="preserve"> </w:t>
      </w:r>
    </w:p>
    <w:p w14:paraId="06C9D727" w14:textId="77777777" w:rsidR="00F33BA2" w:rsidRDefault="00F33BA2" w:rsidP="00F33BA2">
      <w:pPr>
        <w:rPr>
          <w:rFonts w:cstheme="minorHAnsi"/>
        </w:rPr>
      </w:pPr>
    </w:p>
    <w:p w14:paraId="084FA8BF" w14:textId="77777777" w:rsidR="00F33BA2" w:rsidRPr="009D07E0" w:rsidRDefault="00F33BA2" w:rsidP="00F33BA2">
      <w:pPr>
        <w:rPr>
          <w:rFonts w:cstheme="minorHAnsi"/>
        </w:rPr>
      </w:pPr>
      <w:r w:rsidRPr="009D07E0">
        <w:rPr>
          <w:rFonts w:cstheme="minorHAnsi"/>
        </w:rPr>
        <w:t xml:space="preserve">A major discordance is present if </w:t>
      </w:r>
      <w:r>
        <w:rPr>
          <w:rFonts w:cstheme="minorHAnsi"/>
        </w:rPr>
        <w:t>either the hip or spine</w:t>
      </w:r>
      <w:r w:rsidRPr="009D07E0">
        <w:rPr>
          <w:rFonts w:cstheme="minorHAnsi"/>
        </w:rPr>
        <w:t xml:space="preserve"> T-score is normal and the other osteoporotic</w:t>
      </w:r>
      <w:r>
        <w:rPr>
          <w:rFonts w:cstheme="minorHAnsi"/>
        </w:rPr>
        <w:t>.</w:t>
      </w:r>
      <w:r w:rsidRPr="009D07E0">
        <w:rPr>
          <w:rFonts w:cstheme="minorHAnsi"/>
        </w:rPr>
        <w:t xml:space="preserve"> </w:t>
      </w:r>
    </w:p>
    <w:p w14:paraId="730955FD" w14:textId="77777777" w:rsidR="00F33BA2" w:rsidRPr="009D07E0" w:rsidRDefault="00F33BA2" w:rsidP="00F33BA2">
      <w:pPr>
        <w:rPr>
          <w:rFonts w:cstheme="minorHAnsi"/>
        </w:rPr>
      </w:pPr>
    </w:p>
    <w:p w14:paraId="4834CA5D" w14:textId="1521EBAD" w:rsidR="00F33BA2" w:rsidRDefault="00F33BA2" w:rsidP="00F33BA2">
      <w:pPr>
        <w:rPr>
          <w:rFonts w:cstheme="minorHAnsi"/>
        </w:rPr>
      </w:pPr>
      <w:r>
        <w:rPr>
          <w:rFonts w:cstheme="minorHAnsi"/>
        </w:rPr>
        <w:lastRenderedPageBreak/>
        <w:t>Even if T-scores at hip and in the spine put a woman’s bone density into the same WHO diagnostic category, l</w:t>
      </w:r>
      <w:r w:rsidRPr="009D07E0">
        <w:rPr>
          <w:rFonts w:cstheme="minorHAnsi"/>
        </w:rPr>
        <w:t xml:space="preserve">arge differences between T-scores e.g. -2.5 at the hip and -4.7 in the spine need to be explained if there is no </w:t>
      </w:r>
      <w:r>
        <w:rPr>
          <w:rFonts w:cstheme="minorHAnsi"/>
        </w:rPr>
        <w:t>clear clinical</w:t>
      </w:r>
      <w:r w:rsidRPr="009D07E0">
        <w:rPr>
          <w:rFonts w:cstheme="minorHAnsi"/>
        </w:rPr>
        <w:t xml:space="preserve"> reason why such a difference exists.</w:t>
      </w:r>
    </w:p>
    <w:p w14:paraId="515AFC53" w14:textId="2A8EEA00" w:rsidR="00360BE8" w:rsidRDefault="00360BE8" w:rsidP="00F33BA2">
      <w:pPr>
        <w:rPr>
          <w:rFonts w:cstheme="minorHAnsi"/>
        </w:rPr>
      </w:pPr>
    </w:p>
    <w:p w14:paraId="55E9881C" w14:textId="77777777" w:rsidR="00360BE8" w:rsidRDefault="00360BE8" w:rsidP="00360BE8">
      <w:pPr>
        <w:rPr>
          <w:rFonts w:cstheme="minorHAnsi"/>
        </w:rPr>
      </w:pPr>
      <w:r>
        <w:rPr>
          <w:rFonts w:cstheme="minorHAnsi"/>
        </w:rPr>
        <w:t>There are a number of reasons for discordance:</w:t>
      </w:r>
    </w:p>
    <w:p w14:paraId="7B177FB2" w14:textId="77777777" w:rsidR="00360BE8" w:rsidRDefault="00360BE8" w:rsidP="00360BE8">
      <w:pPr>
        <w:rPr>
          <w:rFonts w:cstheme="minorHAnsi"/>
        </w:rPr>
      </w:pPr>
    </w:p>
    <w:p w14:paraId="4F8AD496" w14:textId="77777777" w:rsidR="00360BE8" w:rsidRPr="00767E64" w:rsidRDefault="00360BE8" w:rsidP="00360BE8">
      <w:pPr>
        <w:autoSpaceDE w:val="0"/>
        <w:autoSpaceDN w:val="0"/>
        <w:adjustRightInd w:val="0"/>
        <w:rPr>
          <w:rFonts w:cstheme="minorHAnsi"/>
        </w:rPr>
      </w:pPr>
    </w:p>
    <w:p w14:paraId="1C0A6153" w14:textId="77777777" w:rsidR="00360BE8" w:rsidRPr="00767E64" w:rsidRDefault="00360BE8" w:rsidP="00360BE8">
      <w:pPr>
        <w:autoSpaceDE w:val="0"/>
        <w:autoSpaceDN w:val="0"/>
        <w:adjustRightInd w:val="0"/>
        <w:rPr>
          <w:rFonts w:cstheme="minorHAnsi"/>
        </w:rPr>
      </w:pPr>
      <w:r w:rsidRPr="00767E64">
        <w:rPr>
          <w:rFonts w:cstheme="minorHAnsi"/>
          <w:b/>
          <w:bCs/>
        </w:rPr>
        <w:t xml:space="preserve">Physiological </w:t>
      </w:r>
      <w:r w:rsidRPr="00767E64">
        <w:rPr>
          <w:rFonts w:cstheme="minorHAnsi"/>
        </w:rPr>
        <w:tab/>
      </w:r>
      <w:r w:rsidRPr="00767E64">
        <w:rPr>
          <w:rFonts w:cstheme="minorHAnsi"/>
        </w:rPr>
        <w:tab/>
        <w:t>The skeleton’s adaptive reaction to mechanical strain</w:t>
      </w:r>
    </w:p>
    <w:p w14:paraId="55447708" w14:textId="77777777" w:rsidR="00360BE8" w:rsidRPr="00767E64" w:rsidRDefault="00360BE8" w:rsidP="00360BE8">
      <w:pPr>
        <w:autoSpaceDE w:val="0"/>
        <w:autoSpaceDN w:val="0"/>
        <w:adjustRightInd w:val="0"/>
        <w:rPr>
          <w:rFonts w:cstheme="minorHAnsi"/>
        </w:rPr>
      </w:pPr>
      <w:r w:rsidRPr="00767E64">
        <w:rPr>
          <w:rFonts w:cstheme="minorHAnsi"/>
          <w:b/>
          <w:bCs/>
        </w:rPr>
        <w:t>Pathophysiological</w:t>
      </w:r>
      <w:r w:rsidRPr="00767E64">
        <w:rPr>
          <w:rFonts w:cstheme="minorHAnsi"/>
        </w:rPr>
        <w:t xml:space="preserve"> </w:t>
      </w:r>
      <w:r w:rsidRPr="00767E64">
        <w:rPr>
          <w:rFonts w:cstheme="minorHAnsi"/>
        </w:rPr>
        <w:tab/>
        <w:t>A disease state affecting the skeleton</w:t>
      </w:r>
    </w:p>
    <w:p w14:paraId="3E974B7E" w14:textId="77777777" w:rsidR="00360BE8" w:rsidRPr="00767E64" w:rsidRDefault="00360BE8" w:rsidP="00360BE8">
      <w:pPr>
        <w:autoSpaceDE w:val="0"/>
        <w:autoSpaceDN w:val="0"/>
        <w:adjustRightInd w:val="0"/>
        <w:rPr>
          <w:rFonts w:cstheme="minorHAnsi"/>
        </w:rPr>
      </w:pPr>
      <w:r w:rsidRPr="00767E64">
        <w:rPr>
          <w:rFonts w:cstheme="minorHAnsi"/>
          <w:b/>
          <w:bCs/>
        </w:rPr>
        <w:t xml:space="preserve">Anatomical </w:t>
      </w:r>
      <w:r w:rsidRPr="00767E64">
        <w:rPr>
          <w:rFonts w:cstheme="minorHAnsi"/>
        </w:rPr>
        <w:tab/>
      </w:r>
      <w:r w:rsidRPr="00767E64">
        <w:rPr>
          <w:rFonts w:cstheme="minorHAnsi"/>
        </w:rPr>
        <w:tab/>
        <w:t xml:space="preserve">Differences between sites in content of cortical and trabecular bone </w:t>
      </w:r>
      <w:r>
        <w:rPr>
          <w:rFonts w:cstheme="minorHAnsi"/>
        </w:rPr>
        <w:tab/>
      </w:r>
      <w:r>
        <w:rPr>
          <w:rFonts w:cstheme="minorHAnsi"/>
        </w:rPr>
        <w:tab/>
      </w:r>
      <w:r>
        <w:rPr>
          <w:rFonts w:cstheme="minorHAnsi"/>
        </w:rPr>
        <w:tab/>
      </w:r>
      <w:r w:rsidRPr="00767E64">
        <w:rPr>
          <w:rFonts w:cstheme="minorHAnsi"/>
        </w:rPr>
        <w:t xml:space="preserve">and/or rate of </w:t>
      </w:r>
      <w:r w:rsidRPr="00767E64">
        <w:rPr>
          <w:rFonts w:cstheme="minorHAnsi"/>
        </w:rPr>
        <w:tab/>
        <w:t>bone loss</w:t>
      </w:r>
    </w:p>
    <w:p w14:paraId="4D37F597" w14:textId="77777777" w:rsidR="00360BE8" w:rsidRPr="00767E64" w:rsidRDefault="00360BE8" w:rsidP="00360BE8">
      <w:pPr>
        <w:autoSpaceDE w:val="0"/>
        <w:autoSpaceDN w:val="0"/>
        <w:adjustRightInd w:val="0"/>
        <w:rPr>
          <w:rFonts w:cstheme="minorHAnsi"/>
        </w:rPr>
      </w:pPr>
      <w:r w:rsidRPr="00767E64">
        <w:rPr>
          <w:rFonts w:cstheme="minorHAnsi"/>
          <w:b/>
          <w:bCs/>
        </w:rPr>
        <w:t xml:space="preserve">Artefactual </w:t>
      </w:r>
      <w:r w:rsidRPr="00767E64">
        <w:rPr>
          <w:rFonts w:cstheme="minorHAnsi"/>
        </w:rPr>
        <w:tab/>
      </w:r>
      <w:r w:rsidRPr="00767E64">
        <w:rPr>
          <w:rFonts w:cstheme="minorHAnsi"/>
        </w:rPr>
        <w:tab/>
        <w:t xml:space="preserve">The presence of manmade items within the region of interest of the </w:t>
      </w:r>
      <w:r>
        <w:rPr>
          <w:rFonts w:cstheme="minorHAnsi"/>
        </w:rPr>
        <w:tab/>
      </w:r>
      <w:r>
        <w:rPr>
          <w:rFonts w:cstheme="minorHAnsi"/>
        </w:rPr>
        <w:tab/>
      </w:r>
      <w:r>
        <w:rPr>
          <w:rFonts w:cstheme="minorHAnsi"/>
        </w:rPr>
        <w:tab/>
      </w:r>
      <w:r w:rsidRPr="00767E64">
        <w:rPr>
          <w:rFonts w:cstheme="minorHAnsi"/>
        </w:rPr>
        <w:t>test</w:t>
      </w:r>
    </w:p>
    <w:p w14:paraId="76D5935E" w14:textId="77777777" w:rsidR="00360BE8" w:rsidRPr="00767E64" w:rsidRDefault="00360BE8" w:rsidP="00360BE8">
      <w:pPr>
        <w:rPr>
          <w:rFonts w:cstheme="minorHAnsi"/>
        </w:rPr>
      </w:pPr>
      <w:r w:rsidRPr="00767E64">
        <w:rPr>
          <w:rFonts w:cstheme="minorHAnsi"/>
          <w:b/>
          <w:bCs/>
        </w:rPr>
        <w:t xml:space="preserve">Technical </w:t>
      </w:r>
      <w:r w:rsidRPr="00767E64">
        <w:rPr>
          <w:rFonts w:cstheme="minorHAnsi"/>
        </w:rPr>
        <w:tab/>
      </w:r>
      <w:r w:rsidRPr="00767E64">
        <w:rPr>
          <w:rFonts w:cstheme="minorHAnsi"/>
        </w:rPr>
        <w:tab/>
        <w:t>Faulty device hardw</w:t>
      </w:r>
      <w:r>
        <w:rPr>
          <w:rFonts w:cstheme="minorHAnsi"/>
        </w:rPr>
        <w:t>are</w:t>
      </w:r>
      <w:r w:rsidRPr="00767E64">
        <w:rPr>
          <w:rFonts w:cstheme="minorHAnsi"/>
        </w:rPr>
        <w:t xml:space="preserve"> or software or the technologist’s method of </w:t>
      </w:r>
      <w:r>
        <w:rPr>
          <w:rFonts w:cstheme="minorHAnsi"/>
        </w:rPr>
        <w:tab/>
      </w:r>
      <w:r>
        <w:rPr>
          <w:rFonts w:cstheme="minorHAnsi"/>
        </w:rPr>
        <w:tab/>
      </w:r>
      <w:r>
        <w:rPr>
          <w:rFonts w:cstheme="minorHAnsi"/>
        </w:rPr>
        <w:tab/>
      </w:r>
      <w:r w:rsidRPr="00767E64">
        <w:rPr>
          <w:rFonts w:cstheme="minorHAnsi"/>
        </w:rPr>
        <w:t>acquiring or analysing the test</w:t>
      </w:r>
    </w:p>
    <w:p w14:paraId="7A838477" w14:textId="77777777" w:rsidR="00360BE8" w:rsidRDefault="00360BE8" w:rsidP="00360BE8">
      <w:pPr>
        <w:rPr>
          <w:rFonts w:cstheme="minorHAnsi"/>
        </w:rPr>
      </w:pPr>
    </w:p>
    <w:p w14:paraId="227DCB3C" w14:textId="77777777" w:rsidR="00360BE8" w:rsidRDefault="00360BE8" w:rsidP="00360BE8">
      <w:pPr>
        <w:rPr>
          <w:rFonts w:cstheme="minorHAnsi"/>
        </w:rPr>
      </w:pPr>
      <w:r>
        <w:rPr>
          <w:rFonts w:cstheme="minorHAnsi"/>
        </w:rPr>
        <w:t xml:space="preserve">Physiological, pathophysiological and anatomical reasons for discordance refer to clinical variation and they are therefore unrelated to the actual bone density test. </w:t>
      </w:r>
    </w:p>
    <w:p w14:paraId="4EEA75F7" w14:textId="77777777" w:rsidR="00360BE8" w:rsidRDefault="00360BE8" w:rsidP="00360BE8">
      <w:pPr>
        <w:rPr>
          <w:rFonts w:cstheme="minorHAnsi"/>
        </w:rPr>
      </w:pPr>
    </w:p>
    <w:p w14:paraId="13BC7547" w14:textId="77777777" w:rsidR="00360BE8" w:rsidRDefault="00360BE8" w:rsidP="00360BE8">
      <w:pPr>
        <w:rPr>
          <w:rFonts w:cstheme="minorHAnsi"/>
        </w:rPr>
      </w:pPr>
      <w:r>
        <w:rPr>
          <w:rFonts w:cstheme="minorHAnsi"/>
        </w:rPr>
        <w:t>Anatomical reasons include the different distribution of hard (cortical) bone and softer (cancellous) bone in the hip and spine. With advancing age, an increased incidence of degenerative conditions in the spine and hip can cause errors in DEXA analysis so leading to discordant results. Other factors include ages of onset of menarche (puberty) and menopause (more discordance with late menarche and early menopause), Body Mass Index (less discordance with obesity) and secondary causes of osteoporosis (chronic inflammatory conditions and long-term use of some medications all predispose to discordance). In addition, some populations that are prone to vitamin D deficiency (women in Muslim communities wearing the Burka and Niqab) show different rates of discordance compared to populations that are more expose to sunlight.</w:t>
      </w:r>
    </w:p>
    <w:p w14:paraId="3FEBD187" w14:textId="77777777" w:rsidR="00360BE8" w:rsidRDefault="00360BE8" w:rsidP="00360BE8">
      <w:pPr>
        <w:rPr>
          <w:rFonts w:cstheme="minorHAnsi"/>
        </w:rPr>
      </w:pPr>
    </w:p>
    <w:p w14:paraId="47B3C06A" w14:textId="2B111434" w:rsidR="00360BE8" w:rsidRDefault="00360BE8" w:rsidP="00360BE8">
      <w:pPr>
        <w:rPr>
          <w:rFonts w:cstheme="minorHAnsi"/>
        </w:rPr>
      </w:pPr>
      <w:r>
        <w:rPr>
          <w:rFonts w:cstheme="minorHAnsi"/>
        </w:rPr>
        <w:t>Artefactual and technical reasons for discordance are the result of equipment calibration and operator error and can be eliminated by strict adherence to correct bone densitometry principles and practice. For DEXA the latter include correct patient positioning and interpretation of the x-ray images. Neither of these are relevant for REMS scans.</w:t>
      </w:r>
    </w:p>
    <w:p w14:paraId="4940D0FA" w14:textId="569DE89A" w:rsidR="00360BE8" w:rsidRDefault="00360BE8" w:rsidP="00360BE8">
      <w:pPr>
        <w:rPr>
          <w:rFonts w:cstheme="minorHAnsi"/>
        </w:rPr>
      </w:pPr>
    </w:p>
    <w:p w14:paraId="02F1375D" w14:textId="5830924D" w:rsidR="00360BE8" w:rsidRDefault="0029003B" w:rsidP="00360BE8">
      <w:pPr>
        <w:rPr>
          <w:rFonts w:cstheme="minorHAnsi"/>
        </w:rPr>
      </w:pPr>
      <w:r>
        <w:rPr>
          <w:rFonts w:cstheme="minorHAnsi"/>
        </w:rPr>
        <w:t>Four</w:t>
      </w:r>
      <w:r w:rsidR="00360BE8">
        <w:rPr>
          <w:rFonts w:cstheme="minorHAnsi"/>
        </w:rPr>
        <w:t xml:space="preserve"> large studies </w:t>
      </w:r>
      <w:r w:rsidR="00CB54BF">
        <w:rPr>
          <w:rFonts w:cstheme="minorHAnsi"/>
        </w:rPr>
        <w:t>published between 2000 and 2012 showed the rates of concordance and discordance as:</w:t>
      </w:r>
    </w:p>
    <w:p w14:paraId="19DD51CB" w14:textId="5A978F11" w:rsidR="00CB54BF" w:rsidRDefault="00CB54BF" w:rsidP="00360BE8">
      <w:pPr>
        <w:rPr>
          <w:rFonts w:cstheme="minorHAnsi"/>
        </w:rPr>
      </w:pPr>
    </w:p>
    <w:p w14:paraId="03587378" w14:textId="42F27F97" w:rsidR="00CB54BF" w:rsidRDefault="00CB54BF" w:rsidP="00360BE8">
      <w:pPr>
        <w:rPr>
          <w:rFonts w:cstheme="minorHAnsi"/>
        </w:rPr>
      </w:pPr>
      <w:r>
        <w:rPr>
          <w:rFonts w:cstheme="minorHAnsi"/>
        </w:rPr>
        <w:t>Concordance</w:t>
      </w:r>
      <w:r w:rsidR="00A11EA9">
        <w:rPr>
          <w:rFonts w:cstheme="minorHAnsi"/>
        </w:rPr>
        <w:tab/>
      </w:r>
      <w:r w:rsidR="00A11EA9">
        <w:rPr>
          <w:rFonts w:cstheme="minorHAnsi"/>
        </w:rPr>
        <w:tab/>
      </w:r>
      <w:r w:rsidR="0029003B">
        <w:rPr>
          <w:rFonts w:cstheme="minorHAnsi"/>
        </w:rPr>
        <w:tab/>
        <w:t>5</w:t>
      </w:r>
      <w:r w:rsidR="00A11EA9">
        <w:rPr>
          <w:rFonts w:cstheme="minorHAnsi"/>
        </w:rPr>
        <w:t>7</w:t>
      </w:r>
      <w:r w:rsidR="0029003B">
        <w:rPr>
          <w:rFonts w:cstheme="minorHAnsi"/>
        </w:rPr>
        <w:t>%</w:t>
      </w:r>
    </w:p>
    <w:p w14:paraId="316EBFB5" w14:textId="7A4EA185" w:rsidR="0029003B" w:rsidRDefault="0029003B" w:rsidP="00360BE8">
      <w:pPr>
        <w:rPr>
          <w:rFonts w:cstheme="minorHAnsi"/>
        </w:rPr>
      </w:pPr>
      <w:r>
        <w:rPr>
          <w:rFonts w:cstheme="minorHAnsi"/>
        </w:rPr>
        <w:t>Minor discordance</w:t>
      </w:r>
      <w:r>
        <w:rPr>
          <w:rFonts w:cstheme="minorHAnsi"/>
        </w:rPr>
        <w:tab/>
      </w:r>
      <w:r>
        <w:rPr>
          <w:rFonts w:cstheme="minorHAnsi"/>
        </w:rPr>
        <w:tab/>
        <w:t>40%</w:t>
      </w:r>
    </w:p>
    <w:p w14:paraId="35976C6B" w14:textId="5B54929C" w:rsidR="00A11EA9" w:rsidRPr="009D07E0" w:rsidRDefault="00A11EA9" w:rsidP="00360BE8">
      <w:pPr>
        <w:rPr>
          <w:rFonts w:cstheme="minorHAnsi"/>
        </w:rPr>
      </w:pPr>
      <w:r>
        <w:rPr>
          <w:rFonts w:cstheme="minorHAnsi"/>
        </w:rPr>
        <w:t>Major Discordance</w:t>
      </w:r>
      <w:r>
        <w:rPr>
          <w:rFonts w:cstheme="minorHAnsi"/>
        </w:rPr>
        <w:tab/>
      </w:r>
      <w:r>
        <w:rPr>
          <w:rFonts w:cstheme="minorHAnsi"/>
        </w:rPr>
        <w:tab/>
        <w:t>3%</w:t>
      </w:r>
    </w:p>
    <w:p w14:paraId="4D096EBB" w14:textId="6C159B38" w:rsidR="00F33BA2" w:rsidRDefault="00F33BA2"/>
    <w:p w14:paraId="13F0AB9B" w14:textId="12F42151" w:rsidR="00A11EA9" w:rsidRDefault="00A11EA9"/>
    <w:p w14:paraId="3AAEE942" w14:textId="3D542D9A" w:rsidR="00A11EA9" w:rsidRDefault="00A11EA9">
      <w:r>
        <w:t>Therefore, if a woman has a DEXA scan showing a major discordance, and she has no obvious reasons for such a result, she should query the DEXA result</w:t>
      </w:r>
      <w:r w:rsidR="00B253EA">
        <w:t xml:space="preserve"> with the local unit. If an answer is not forthcoming, asking for a second opinion is entirely reasonable and appropriate.</w:t>
      </w:r>
      <w:bookmarkStart w:id="0" w:name="_GoBack"/>
      <w:bookmarkEnd w:id="0"/>
    </w:p>
    <w:sectPr w:rsidR="00A11EA9" w:rsidSect="007C207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62DE7"/>
    <w:multiLevelType w:val="multilevel"/>
    <w:tmpl w:val="497C8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F7769D"/>
    <w:multiLevelType w:val="multilevel"/>
    <w:tmpl w:val="84A2B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E6"/>
    <w:rsid w:val="00165982"/>
    <w:rsid w:val="0029003B"/>
    <w:rsid w:val="00360BE8"/>
    <w:rsid w:val="0037032C"/>
    <w:rsid w:val="00430729"/>
    <w:rsid w:val="004B554B"/>
    <w:rsid w:val="004D025A"/>
    <w:rsid w:val="007C2078"/>
    <w:rsid w:val="00985281"/>
    <w:rsid w:val="00A11EA9"/>
    <w:rsid w:val="00A338E6"/>
    <w:rsid w:val="00B253EA"/>
    <w:rsid w:val="00CB54BF"/>
    <w:rsid w:val="00F33BA2"/>
    <w:rsid w:val="00FB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D76E"/>
  <w14:defaultImageDpi w14:val="32767"/>
  <w15:chartTrackingRefBased/>
  <w15:docId w15:val="{D164099E-63F2-3C4E-BDCB-DF4B4357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poqfe">
    <w:name w:val="xpoqfe"/>
    <w:basedOn w:val="DefaultParagraphFont"/>
    <w:rsid w:val="00A338E6"/>
  </w:style>
  <w:style w:type="character" w:styleId="Hyperlink">
    <w:name w:val="Hyperlink"/>
    <w:basedOn w:val="DefaultParagraphFont"/>
    <w:uiPriority w:val="99"/>
    <w:semiHidden/>
    <w:unhideWhenUsed/>
    <w:rsid w:val="00A338E6"/>
    <w:rPr>
      <w:color w:val="0000FF"/>
      <w:u w:val="single"/>
    </w:rPr>
  </w:style>
  <w:style w:type="character" w:customStyle="1" w:styleId="fe69if">
    <w:name w:val="fe69if"/>
    <w:basedOn w:val="DefaultParagraphFont"/>
    <w:rsid w:val="00A338E6"/>
  </w:style>
  <w:style w:type="character" w:customStyle="1" w:styleId="apple-converted-space">
    <w:name w:val="apple-converted-space"/>
    <w:basedOn w:val="DefaultParagraphFont"/>
    <w:rsid w:val="00A338E6"/>
  </w:style>
  <w:style w:type="character" w:customStyle="1" w:styleId="mqo3nc">
    <w:name w:val="mqo3nc"/>
    <w:basedOn w:val="DefaultParagraphFont"/>
    <w:rsid w:val="00A338E6"/>
  </w:style>
  <w:style w:type="table" w:styleId="TableGrid">
    <w:name w:val="Table Grid"/>
    <w:basedOn w:val="TableNormal"/>
    <w:uiPriority w:val="39"/>
    <w:rsid w:val="00F33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754855">
      <w:bodyDiv w:val="1"/>
      <w:marLeft w:val="0"/>
      <w:marRight w:val="0"/>
      <w:marTop w:val="0"/>
      <w:marBottom w:val="0"/>
      <w:divBdr>
        <w:top w:val="none" w:sz="0" w:space="0" w:color="auto"/>
        <w:left w:val="none" w:sz="0" w:space="0" w:color="auto"/>
        <w:bottom w:val="none" w:sz="0" w:space="0" w:color="auto"/>
        <w:right w:val="none" w:sz="0" w:space="0" w:color="auto"/>
      </w:divBdr>
      <w:divsChild>
        <w:div w:id="1949576642">
          <w:marLeft w:val="0"/>
          <w:marRight w:val="0"/>
          <w:marTop w:val="0"/>
          <w:marBottom w:val="0"/>
          <w:divBdr>
            <w:top w:val="none" w:sz="0" w:space="0" w:color="auto"/>
            <w:left w:val="none" w:sz="0" w:space="0" w:color="auto"/>
            <w:bottom w:val="none" w:sz="0" w:space="0" w:color="auto"/>
            <w:right w:val="none" w:sz="0" w:space="0" w:color="auto"/>
          </w:divBdr>
          <w:divsChild>
            <w:div w:id="791873209">
              <w:marLeft w:val="0"/>
              <w:marRight w:val="0"/>
              <w:marTop w:val="0"/>
              <w:marBottom w:val="0"/>
              <w:divBdr>
                <w:top w:val="none" w:sz="0" w:space="0" w:color="auto"/>
                <w:left w:val="none" w:sz="0" w:space="0" w:color="auto"/>
                <w:bottom w:val="none" w:sz="0" w:space="0" w:color="auto"/>
                <w:right w:val="none" w:sz="0" w:space="0" w:color="auto"/>
              </w:divBdr>
            </w:div>
          </w:divsChild>
        </w:div>
        <w:div w:id="2100977788">
          <w:marLeft w:val="0"/>
          <w:marRight w:val="0"/>
          <w:marTop w:val="0"/>
          <w:marBottom w:val="0"/>
          <w:divBdr>
            <w:top w:val="none" w:sz="0" w:space="0" w:color="auto"/>
            <w:left w:val="none" w:sz="0" w:space="0" w:color="auto"/>
            <w:bottom w:val="none" w:sz="0" w:space="0" w:color="auto"/>
            <w:right w:val="none" w:sz="0" w:space="0" w:color="auto"/>
          </w:divBdr>
        </w:div>
        <w:div w:id="172689790">
          <w:marLeft w:val="0"/>
          <w:marRight w:val="0"/>
          <w:marTop w:val="0"/>
          <w:marBottom w:val="0"/>
          <w:divBdr>
            <w:top w:val="none" w:sz="0" w:space="0" w:color="auto"/>
            <w:left w:val="none" w:sz="0" w:space="0" w:color="auto"/>
            <w:bottom w:val="none" w:sz="0" w:space="0" w:color="auto"/>
            <w:right w:val="none" w:sz="0" w:space="0" w:color="auto"/>
          </w:divBdr>
          <w:divsChild>
            <w:div w:id="1677877201">
              <w:marLeft w:val="0"/>
              <w:marRight w:val="0"/>
              <w:marTop w:val="0"/>
              <w:marBottom w:val="0"/>
              <w:divBdr>
                <w:top w:val="none" w:sz="0" w:space="0" w:color="auto"/>
                <w:left w:val="none" w:sz="0" w:space="0" w:color="auto"/>
                <w:bottom w:val="none" w:sz="0" w:space="0" w:color="auto"/>
                <w:right w:val="none" w:sz="0" w:space="0" w:color="auto"/>
              </w:divBdr>
              <w:divsChild>
                <w:div w:id="12917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98590">
          <w:marLeft w:val="0"/>
          <w:marRight w:val="0"/>
          <w:marTop w:val="0"/>
          <w:marBottom w:val="0"/>
          <w:divBdr>
            <w:top w:val="none" w:sz="0" w:space="0" w:color="auto"/>
            <w:left w:val="none" w:sz="0" w:space="0" w:color="auto"/>
            <w:bottom w:val="none" w:sz="0" w:space="0" w:color="auto"/>
            <w:right w:val="none" w:sz="0" w:space="0" w:color="auto"/>
          </w:divBdr>
          <w:divsChild>
            <w:div w:id="743180816">
              <w:marLeft w:val="0"/>
              <w:marRight w:val="0"/>
              <w:marTop w:val="0"/>
              <w:marBottom w:val="0"/>
              <w:divBdr>
                <w:top w:val="none" w:sz="0" w:space="0" w:color="auto"/>
                <w:left w:val="none" w:sz="0" w:space="0" w:color="auto"/>
                <w:bottom w:val="none" w:sz="0" w:space="0" w:color="auto"/>
                <w:right w:val="none" w:sz="0" w:space="0" w:color="auto"/>
              </w:divBdr>
              <w:divsChild>
                <w:div w:id="712464668">
                  <w:marLeft w:val="0"/>
                  <w:marRight w:val="0"/>
                  <w:marTop w:val="0"/>
                  <w:marBottom w:val="0"/>
                  <w:divBdr>
                    <w:top w:val="none" w:sz="0" w:space="0" w:color="auto"/>
                    <w:left w:val="none" w:sz="0" w:space="0" w:color="auto"/>
                    <w:bottom w:val="none" w:sz="0" w:space="0" w:color="auto"/>
                    <w:right w:val="none" w:sz="0" w:space="0" w:color="auto"/>
                  </w:divBdr>
                  <w:divsChild>
                    <w:div w:id="1434322759">
                      <w:marLeft w:val="0"/>
                      <w:marRight w:val="0"/>
                      <w:marTop w:val="0"/>
                      <w:marBottom w:val="0"/>
                      <w:divBdr>
                        <w:top w:val="none" w:sz="0" w:space="0" w:color="auto"/>
                        <w:left w:val="none" w:sz="0" w:space="0" w:color="auto"/>
                        <w:bottom w:val="none" w:sz="0" w:space="0" w:color="auto"/>
                        <w:right w:val="none" w:sz="0" w:space="0" w:color="auto"/>
                      </w:divBdr>
                      <w:divsChild>
                        <w:div w:id="7978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435">
                  <w:marLeft w:val="0"/>
                  <w:marRight w:val="0"/>
                  <w:marTop w:val="0"/>
                  <w:marBottom w:val="0"/>
                  <w:divBdr>
                    <w:top w:val="none" w:sz="0" w:space="0" w:color="auto"/>
                    <w:left w:val="none" w:sz="0" w:space="0" w:color="auto"/>
                    <w:bottom w:val="none" w:sz="0" w:space="0" w:color="auto"/>
                    <w:right w:val="none" w:sz="0" w:space="0" w:color="auto"/>
                  </w:divBdr>
                  <w:divsChild>
                    <w:div w:id="1287614637">
                      <w:marLeft w:val="0"/>
                      <w:marRight w:val="0"/>
                      <w:marTop w:val="0"/>
                      <w:marBottom w:val="0"/>
                      <w:divBdr>
                        <w:top w:val="none" w:sz="0" w:space="0" w:color="auto"/>
                        <w:left w:val="none" w:sz="0" w:space="0" w:color="auto"/>
                        <w:bottom w:val="none" w:sz="0" w:space="0" w:color="auto"/>
                        <w:right w:val="none" w:sz="0" w:space="0" w:color="auto"/>
                      </w:divBdr>
                      <w:divsChild>
                        <w:div w:id="1658412204">
                          <w:marLeft w:val="0"/>
                          <w:marRight w:val="0"/>
                          <w:marTop w:val="0"/>
                          <w:marBottom w:val="0"/>
                          <w:divBdr>
                            <w:top w:val="none" w:sz="0" w:space="0" w:color="auto"/>
                            <w:left w:val="none" w:sz="0" w:space="0" w:color="auto"/>
                            <w:bottom w:val="none" w:sz="0" w:space="0" w:color="auto"/>
                            <w:right w:val="none" w:sz="0" w:space="0" w:color="auto"/>
                          </w:divBdr>
                          <w:divsChild>
                            <w:div w:id="1627152853">
                              <w:marLeft w:val="0"/>
                              <w:marRight w:val="0"/>
                              <w:marTop w:val="0"/>
                              <w:marBottom w:val="0"/>
                              <w:divBdr>
                                <w:top w:val="none" w:sz="0" w:space="0" w:color="auto"/>
                                <w:left w:val="none" w:sz="0" w:space="0" w:color="auto"/>
                                <w:bottom w:val="none" w:sz="0" w:space="0" w:color="auto"/>
                                <w:right w:val="none" w:sz="0" w:space="0" w:color="auto"/>
                              </w:divBdr>
                            </w:div>
                            <w:div w:id="1175263593">
                              <w:marLeft w:val="300"/>
                              <w:marRight w:val="0"/>
                              <w:marTop w:val="0"/>
                              <w:marBottom w:val="0"/>
                              <w:divBdr>
                                <w:top w:val="none" w:sz="0" w:space="0" w:color="auto"/>
                                <w:left w:val="none" w:sz="0" w:space="0" w:color="auto"/>
                                <w:bottom w:val="none" w:sz="0" w:space="0" w:color="auto"/>
                                <w:right w:val="none" w:sz="0" w:space="0" w:color="auto"/>
                              </w:divBdr>
                              <w:divsChild>
                                <w:div w:id="1734229085">
                                  <w:marLeft w:val="0"/>
                                  <w:marRight w:val="0"/>
                                  <w:marTop w:val="0"/>
                                  <w:marBottom w:val="0"/>
                                  <w:divBdr>
                                    <w:top w:val="none" w:sz="0" w:space="0" w:color="auto"/>
                                    <w:left w:val="none" w:sz="0" w:space="0" w:color="auto"/>
                                    <w:bottom w:val="none" w:sz="0" w:space="0" w:color="auto"/>
                                    <w:right w:val="none" w:sz="0" w:space="0" w:color="auto"/>
                                  </w:divBdr>
                                  <w:divsChild>
                                    <w:div w:id="1111902619">
                                      <w:marLeft w:val="0"/>
                                      <w:marRight w:val="0"/>
                                      <w:marTop w:val="0"/>
                                      <w:marBottom w:val="0"/>
                                      <w:divBdr>
                                        <w:top w:val="none" w:sz="0" w:space="0" w:color="auto"/>
                                        <w:left w:val="none" w:sz="0" w:space="0" w:color="auto"/>
                                        <w:bottom w:val="none" w:sz="0" w:space="0" w:color="auto"/>
                                        <w:right w:val="none" w:sz="0" w:space="0" w:color="auto"/>
                                      </w:divBdr>
                                    </w:div>
                                    <w:div w:id="1308823539">
                                      <w:marLeft w:val="0"/>
                                      <w:marRight w:val="0"/>
                                      <w:marTop w:val="0"/>
                                      <w:marBottom w:val="0"/>
                                      <w:divBdr>
                                        <w:top w:val="none" w:sz="0" w:space="0" w:color="auto"/>
                                        <w:left w:val="none" w:sz="0" w:space="0" w:color="auto"/>
                                        <w:bottom w:val="none" w:sz="0" w:space="0" w:color="auto"/>
                                        <w:right w:val="none" w:sz="0" w:space="0" w:color="auto"/>
                                      </w:divBdr>
                                      <w:divsChild>
                                        <w:div w:id="14530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77718">
                  <w:marLeft w:val="0"/>
                  <w:marRight w:val="0"/>
                  <w:marTop w:val="0"/>
                  <w:marBottom w:val="0"/>
                  <w:divBdr>
                    <w:top w:val="none" w:sz="0" w:space="0" w:color="auto"/>
                    <w:left w:val="none" w:sz="0" w:space="0" w:color="auto"/>
                    <w:bottom w:val="none" w:sz="0" w:space="0" w:color="auto"/>
                    <w:right w:val="none" w:sz="0" w:space="0" w:color="auto"/>
                  </w:divBdr>
                  <w:divsChild>
                    <w:div w:id="1331325782">
                      <w:marLeft w:val="0"/>
                      <w:marRight w:val="0"/>
                      <w:marTop w:val="0"/>
                      <w:marBottom w:val="0"/>
                      <w:divBdr>
                        <w:top w:val="none" w:sz="0" w:space="0" w:color="auto"/>
                        <w:left w:val="none" w:sz="0" w:space="0" w:color="auto"/>
                        <w:bottom w:val="none" w:sz="0" w:space="0" w:color="auto"/>
                        <w:right w:val="none" w:sz="0" w:space="0" w:color="auto"/>
                      </w:divBdr>
                      <w:divsChild>
                        <w:div w:id="824123653">
                          <w:marLeft w:val="0"/>
                          <w:marRight w:val="0"/>
                          <w:marTop w:val="0"/>
                          <w:marBottom w:val="0"/>
                          <w:divBdr>
                            <w:top w:val="none" w:sz="0" w:space="0" w:color="auto"/>
                            <w:left w:val="none" w:sz="0" w:space="0" w:color="auto"/>
                            <w:bottom w:val="none" w:sz="0" w:space="0" w:color="auto"/>
                            <w:right w:val="none" w:sz="0" w:space="0" w:color="auto"/>
                          </w:divBdr>
                          <w:divsChild>
                            <w:div w:id="931863079">
                              <w:marLeft w:val="0"/>
                              <w:marRight w:val="0"/>
                              <w:marTop w:val="0"/>
                              <w:marBottom w:val="0"/>
                              <w:divBdr>
                                <w:top w:val="none" w:sz="0" w:space="0" w:color="auto"/>
                                <w:left w:val="none" w:sz="0" w:space="0" w:color="auto"/>
                                <w:bottom w:val="none" w:sz="0" w:space="0" w:color="auto"/>
                                <w:right w:val="none" w:sz="0" w:space="0" w:color="auto"/>
                              </w:divBdr>
                            </w:div>
                            <w:div w:id="556937441">
                              <w:marLeft w:val="300"/>
                              <w:marRight w:val="0"/>
                              <w:marTop w:val="0"/>
                              <w:marBottom w:val="0"/>
                              <w:divBdr>
                                <w:top w:val="none" w:sz="0" w:space="0" w:color="auto"/>
                                <w:left w:val="none" w:sz="0" w:space="0" w:color="auto"/>
                                <w:bottom w:val="none" w:sz="0" w:space="0" w:color="auto"/>
                                <w:right w:val="none" w:sz="0" w:space="0" w:color="auto"/>
                              </w:divBdr>
                              <w:divsChild>
                                <w:div w:id="1374382642">
                                  <w:marLeft w:val="0"/>
                                  <w:marRight w:val="0"/>
                                  <w:marTop w:val="0"/>
                                  <w:marBottom w:val="0"/>
                                  <w:divBdr>
                                    <w:top w:val="none" w:sz="0" w:space="0" w:color="auto"/>
                                    <w:left w:val="none" w:sz="0" w:space="0" w:color="auto"/>
                                    <w:bottom w:val="none" w:sz="0" w:space="0" w:color="auto"/>
                                    <w:right w:val="none" w:sz="0" w:space="0" w:color="auto"/>
                                  </w:divBdr>
                                  <w:divsChild>
                                    <w:div w:id="1315404473">
                                      <w:marLeft w:val="0"/>
                                      <w:marRight w:val="0"/>
                                      <w:marTop w:val="0"/>
                                      <w:marBottom w:val="0"/>
                                      <w:divBdr>
                                        <w:top w:val="none" w:sz="0" w:space="0" w:color="auto"/>
                                        <w:left w:val="none" w:sz="0" w:space="0" w:color="auto"/>
                                        <w:bottom w:val="none" w:sz="0" w:space="0" w:color="auto"/>
                                        <w:right w:val="none" w:sz="0" w:space="0" w:color="auto"/>
                                      </w:divBdr>
                                    </w:div>
                                    <w:div w:id="864058071">
                                      <w:marLeft w:val="0"/>
                                      <w:marRight w:val="0"/>
                                      <w:marTop w:val="0"/>
                                      <w:marBottom w:val="0"/>
                                      <w:divBdr>
                                        <w:top w:val="none" w:sz="0" w:space="0" w:color="auto"/>
                                        <w:left w:val="none" w:sz="0" w:space="0" w:color="auto"/>
                                        <w:bottom w:val="none" w:sz="0" w:space="0" w:color="auto"/>
                                        <w:right w:val="none" w:sz="0" w:space="0" w:color="auto"/>
                                      </w:divBdr>
                                    </w:div>
                                    <w:div w:id="815998590">
                                      <w:marLeft w:val="0"/>
                                      <w:marRight w:val="0"/>
                                      <w:marTop w:val="0"/>
                                      <w:marBottom w:val="0"/>
                                      <w:divBdr>
                                        <w:top w:val="none" w:sz="0" w:space="0" w:color="auto"/>
                                        <w:left w:val="none" w:sz="0" w:space="0" w:color="auto"/>
                                        <w:bottom w:val="none" w:sz="0" w:space="0" w:color="auto"/>
                                        <w:right w:val="none" w:sz="0" w:space="0" w:color="auto"/>
                                      </w:divBdr>
                                      <w:divsChild>
                                        <w:div w:id="10813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01410">
      <w:bodyDiv w:val="1"/>
      <w:marLeft w:val="0"/>
      <w:marRight w:val="0"/>
      <w:marTop w:val="0"/>
      <w:marBottom w:val="0"/>
      <w:divBdr>
        <w:top w:val="none" w:sz="0" w:space="0" w:color="auto"/>
        <w:left w:val="none" w:sz="0" w:space="0" w:color="auto"/>
        <w:bottom w:val="none" w:sz="0" w:space="0" w:color="auto"/>
        <w:right w:val="none" w:sz="0" w:space="0" w:color="auto"/>
      </w:divBdr>
      <w:divsChild>
        <w:div w:id="2071922849">
          <w:marLeft w:val="0"/>
          <w:marRight w:val="0"/>
          <w:marTop w:val="0"/>
          <w:marBottom w:val="0"/>
          <w:divBdr>
            <w:top w:val="none" w:sz="0" w:space="0" w:color="auto"/>
            <w:left w:val="none" w:sz="0" w:space="0" w:color="auto"/>
            <w:bottom w:val="none" w:sz="0" w:space="0" w:color="auto"/>
            <w:right w:val="none" w:sz="0" w:space="0" w:color="auto"/>
          </w:divBdr>
          <w:divsChild>
            <w:div w:id="989864005">
              <w:marLeft w:val="0"/>
              <w:marRight w:val="0"/>
              <w:marTop w:val="0"/>
              <w:marBottom w:val="0"/>
              <w:divBdr>
                <w:top w:val="none" w:sz="0" w:space="0" w:color="auto"/>
                <w:left w:val="none" w:sz="0" w:space="0" w:color="auto"/>
                <w:bottom w:val="none" w:sz="0" w:space="0" w:color="auto"/>
                <w:right w:val="none" w:sz="0" w:space="0" w:color="auto"/>
              </w:divBdr>
            </w:div>
          </w:divsChild>
        </w:div>
        <w:div w:id="131217355">
          <w:marLeft w:val="0"/>
          <w:marRight w:val="0"/>
          <w:marTop w:val="0"/>
          <w:marBottom w:val="0"/>
          <w:divBdr>
            <w:top w:val="none" w:sz="0" w:space="0" w:color="auto"/>
            <w:left w:val="none" w:sz="0" w:space="0" w:color="auto"/>
            <w:bottom w:val="none" w:sz="0" w:space="0" w:color="auto"/>
            <w:right w:val="none" w:sz="0" w:space="0" w:color="auto"/>
          </w:divBdr>
        </w:div>
        <w:div w:id="358240123">
          <w:marLeft w:val="0"/>
          <w:marRight w:val="0"/>
          <w:marTop w:val="0"/>
          <w:marBottom w:val="0"/>
          <w:divBdr>
            <w:top w:val="none" w:sz="0" w:space="0" w:color="auto"/>
            <w:left w:val="none" w:sz="0" w:space="0" w:color="auto"/>
            <w:bottom w:val="none" w:sz="0" w:space="0" w:color="auto"/>
            <w:right w:val="none" w:sz="0" w:space="0" w:color="auto"/>
          </w:divBdr>
          <w:divsChild>
            <w:div w:id="1492211392">
              <w:marLeft w:val="0"/>
              <w:marRight w:val="0"/>
              <w:marTop w:val="0"/>
              <w:marBottom w:val="0"/>
              <w:divBdr>
                <w:top w:val="none" w:sz="0" w:space="0" w:color="auto"/>
                <w:left w:val="none" w:sz="0" w:space="0" w:color="auto"/>
                <w:bottom w:val="none" w:sz="0" w:space="0" w:color="auto"/>
                <w:right w:val="none" w:sz="0" w:space="0" w:color="auto"/>
              </w:divBdr>
              <w:divsChild>
                <w:div w:id="1478450669">
                  <w:marLeft w:val="0"/>
                  <w:marRight w:val="0"/>
                  <w:marTop w:val="0"/>
                  <w:marBottom w:val="0"/>
                  <w:divBdr>
                    <w:top w:val="none" w:sz="0" w:space="0" w:color="auto"/>
                    <w:left w:val="none" w:sz="0" w:space="0" w:color="auto"/>
                    <w:bottom w:val="none" w:sz="0" w:space="0" w:color="auto"/>
                    <w:right w:val="none" w:sz="0" w:space="0" w:color="auto"/>
                  </w:divBdr>
                  <w:divsChild>
                    <w:div w:id="1233737720">
                      <w:marLeft w:val="0"/>
                      <w:marRight w:val="0"/>
                      <w:marTop w:val="0"/>
                      <w:marBottom w:val="0"/>
                      <w:divBdr>
                        <w:top w:val="none" w:sz="0" w:space="0" w:color="auto"/>
                        <w:left w:val="none" w:sz="0" w:space="0" w:color="auto"/>
                        <w:bottom w:val="none" w:sz="0" w:space="0" w:color="auto"/>
                        <w:right w:val="none" w:sz="0" w:space="0" w:color="auto"/>
                      </w:divBdr>
                      <w:divsChild>
                        <w:div w:id="19397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1176">
                  <w:marLeft w:val="0"/>
                  <w:marRight w:val="0"/>
                  <w:marTop w:val="0"/>
                  <w:marBottom w:val="0"/>
                  <w:divBdr>
                    <w:top w:val="none" w:sz="0" w:space="0" w:color="auto"/>
                    <w:left w:val="none" w:sz="0" w:space="0" w:color="auto"/>
                    <w:bottom w:val="none" w:sz="0" w:space="0" w:color="auto"/>
                    <w:right w:val="none" w:sz="0" w:space="0" w:color="auto"/>
                  </w:divBdr>
                  <w:divsChild>
                    <w:div w:id="169762362">
                      <w:marLeft w:val="0"/>
                      <w:marRight w:val="0"/>
                      <w:marTop w:val="0"/>
                      <w:marBottom w:val="0"/>
                      <w:divBdr>
                        <w:top w:val="none" w:sz="0" w:space="0" w:color="auto"/>
                        <w:left w:val="none" w:sz="0" w:space="0" w:color="auto"/>
                        <w:bottom w:val="none" w:sz="0" w:space="0" w:color="auto"/>
                        <w:right w:val="none" w:sz="0" w:space="0" w:color="auto"/>
                      </w:divBdr>
                      <w:divsChild>
                        <w:div w:id="1675839296">
                          <w:marLeft w:val="0"/>
                          <w:marRight w:val="0"/>
                          <w:marTop w:val="0"/>
                          <w:marBottom w:val="0"/>
                          <w:divBdr>
                            <w:top w:val="none" w:sz="0" w:space="0" w:color="auto"/>
                            <w:left w:val="none" w:sz="0" w:space="0" w:color="auto"/>
                            <w:bottom w:val="none" w:sz="0" w:space="0" w:color="auto"/>
                            <w:right w:val="none" w:sz="0" w:space="0" w:color="auto"/>
                          </w:divBdr>
                          <w:divsChild>
                            <w:div w:id="1042704690">
                              <w:marLeft w:val="0"/>
                              <w:marRight w:val="0"/>
                              <w:marTop w:val="0"/>
                              <w:marBottom w:val="0"/>
                              <w:divBdr>
                                <w:top w:val="none" w:sz="0" w:space="0" w:color="auto"/>
                                <w:left w:val="none" w:sz="0" w:space="0" w:color="auto"/>
                                <w:bottom w:val="none" w:sz="0" w:space="0" w:color="auto"/>
                                <w:right w:val="none" w:sz="0" w:space="0" w:color="auto"/>
                              </w:divBdr>
                            </w:div>
                            <w:div w:id="564340454">
                              <w:marLeft w:val="300"/>
                              <w:marRight w:val="0"/>
                              <w:marTop w:val="0"/>
                              <w:marBottom w:val="0"/>
                              <w:divBdr>
                                <w:top w:val="none" w:sz="0" w:space="0" w:color="auto"/>
                                <w:left w:val="none" w:sz="0" w:space="0" w:color="auto"/>
                                <w:bottom w:val="none" w:sz="0" w:space="0" w:color="auto"/>
                                <w:right w:val="none" w:sz="0" w:space="0" w:color="auto"/>
                              </w:divBdr>
                              <w:divsChild>
                                <w:div w:id="1403331327">
                                  <w:marLeft w:val="0"/>
                                  <w:marRight w:val="0"/>
                                  <w:marTop w:val="0"/>
                                  <w:marBottom w:val="0"/>
                                  <w:divBdr>
                                    <w:top w:val="none" w:sz="0" w:space="0" w:color="auto"/>
                                    <w:left w:val="none" w:sz="0" w:space="0" w:color="auto"/>
                                    <w:bottom w:val="none" w:sz="0" w:space="0" w:color="auto"/>
                                    <w:right w:val="none" w:sz="0" w:space="0" w:color="auto"/>
                                  </w:divBdr>
                                  <w:divsChild>
                                    <w:div w:id="1299384279">
                                      <w:marLeft w:val="0"/>
                                      <w:marRight w:val="0"/>
                                      <w:marTop w:val="0"/>
                                      <w:marBottom w:val="0"/>
                                      <w:divBdr>
                                        <w:top w:val="none" w:sz="0" w:space="0" w:color="auto"/>
                                        <w:left w:val="none" w:sz="0" w:space="0" w:color="auto"/>
                                        <w:bottom w:val="none" w:sz="0" w:space="0" w:color="auto"/>
                                        <w:right w:val="none" w:sz="0" w:space="0" w:color="auto"/>
                                      </w:divBdr>
                                    </w:div>
                                    <w:div w:id="1799645527">
                                      <w:marLeft w:val="0"/>
                                      <w:marRight w:val="0"/>
                                      <w:marTop w:val="0"/>
                                      <w:marBottom w:val="0"/>
                                      <w:divBdr>
                                        <w:top w:val="none" w:sz="0" w:space="0" w:color="auto"/>
                                        <w:left w:val="none" w:sz="0" w:space="0" w:color="auto"/>
                                        <w:bottom w:val="none" w:sz="0" w:space="0" w:color="auto"/>
                                        <w:right w:val="none" w:sz="0" w:space="0" w:color="auto"/>
                                      </w:divBdr>
                                      <w:divsChild>
                                        <w:div w:id="147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client=safari&amp;rls=en&amp;sxsrf=ACYBGNTD5sZZ5dNMSI_efU2n4owLGRHk_A:1576399116161&amp;q=how+to+pronounce+concordance&amp;stick=H4sIAAAAAAAAAOMIfcRoyy3w8sc9YSmTSWtOXmPU4-INKMrPK81LzkwsyczPExLnYglOsteoporosis%20osteoporosis%20osteoporosis%20is%20defined%20as%20osteoporosis%20is%20defined%20as%20osteoporosis%20is%20defined%20asOsteoporosis%20is%20defined%20asJLcoV4pfi5eJOzs9Lzi9KScxLTrViUWJKzeNZxCqTkV-uUJKvUADUlg_Ul6qApAoAbw8akGEAAAA&amp;pron_lang=en&amp;pron_country=gb&amp;sa=X&amp;ved=2ahUKEwir6d6qoLfmAhWKI8AKHQieC8oQ3eEDMAB6BAgFEA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Birch</dc:creator>
  <cp:keywords/>
  <dc:description/>
  <cp:lastModifiedBy>Nick Birch</cp:lastModifiedBy>
  <cp:revision>1</cp:revision>
  <dcterms:created xsi:type="dcterms:W3CDTF">2019-12-15T08:39:00Z</dcterms:created>
  <dcterms:modified xsi:type="dcterms:W3CDTF">2019-12-16T18:55:00Z</dcterms:modified>
</cp:coreProperties>
</file>